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20A0" w14:textId="6CDCE093" w:rsidR="002B6468" w:rsidRDefault="00961101" w:rsidP="00464C9E">
      <w:pPr>
        <w:jc w:val="both"/>
      </w:pPr>
      <w:r>
        <w:t xml:space="preserve">Pouczenie zgodnie z art. 805 </w:t>
      </w:r>
      <w:proofErr w:type="spellStart"/>
      <w:r>
        <w:t>kpc</w:t>
      </w:r>
      <w:proofErr w:type="spellEnd"/>
      <w:r>
        <w:t>:</w:t>
      </w:r>
    </w:p>
    <w:p w14:paraId="2E7C71CF" w14:textId="299C1FEE" w:rsidR="00464C9E" w:rsidRDefault="00464C9E" w:rsidP="00464C9E">
      <w:pPr>
        <w:jc w:val="both"/>
      </w:pPr>
      <w:r>
        <w:t xml:space="preserve">Art. 767 </w:t>
      </w:r>
      <w:proofErr w:type="spellStart"/>
      <w:r>
        <w:t>kpc</w:t>
      </w:r>
      <w:proofErr w:type="spellEnd"/>
      <w:r>
        <w:t>:</w:t>
      </w:r>
    </w:p>
    <w:p w14:paraId="765D8CF1" w14:textId="77777777" w:rsidR="00464C9E" w:rsidRDefault="00464C9E" w:rsidP="00464C9E">
      <w:pPr>
        <w:jc w:val="both"/>
      </w:pPr>
      <w:r>
        <w:t>Art. 767. § 1. Na czynności komornika przysługuje skarga do sądu rejonowego, jeżeli ustawa nie stanowi inaczej. Dotyczy to także zaniechania przez komornika dokonania czynności. Skargę rozpoznaje sąd właściwy ze względu na siedzibę kancelarii komornika.</w:t>
      </w:r>
    </w:p>
    <w:p w14:paraId="7DF4FC39" w14:textId="77777777" w:rsidR="00464C9E" w:rsidRDefault="00464C9E" w:rsidP="00464C9E">
      <w:pPr>
        <w:jc w:val="both"/>
      </w:pPr>
      <w:r>
        <w:t>§ 1 (1) Skarga nie przysługuje na zarządzenie komornika o wezwaniu do usunięcia braków pisma, na zawiadomienie o terminie czynności oraz na uiszczenie przez komornika podatku od towarów i usług.</w:t>
      </w:r>
    </w:p>
    <w:p w14:paraId="3A7D0E85" w14:textId="77777777" w:rsidR="00464C9E" w:rsidRDefault="00464C9E" w:rsidP="00464C9E">
      <w:pPr>
        <w:jc w:val="both"/>
      </w:pPr>
      <w:r>
        <w:t>§ 2. Skargę może złożyć strona lub inna osoba, której prawa zostały przez czynności lub zaniechanie komornika naruszone bądź zagrożone.</w:t>
      </w:r>
    </w:p>
    <w:p w14:paraId="6AA2C8E0" w14:textId="77777777" w:rsidR="00464C9E" w:rsidRDefault="00464C9E" w:rsidP="00464C9E">
      <w:pPr>
        <w:jc w:val="both"/>
      </w:pPr>
      <w:r>
        <w:t>§ 3. Skarga na czynność komornika powinna czynić zadość wymaganiom pisma procesowego oraz określać zaskarżoną czynność lub czynność, której zaniechano, jak również wniosek o zmianę, uchylenie lub dokonanie czynności wraz z uzasadnieniem.</w:t>
      </w:r>
    </w:p>
    <w:p w14:paraId="02011AF0" w14:textId="77777777" w:rsidR="00464C9E" w:rsidRDefault="00464C9E" w:rsidP="00464C9E">
      <w:pPr>
        <w:jc w:val="both"/>
      </w:pPr>
      <w:r>
        <w:t>§ 3 (1) Skarga może być wniesiona na urzędowym formularzu.</w:t>
      </w:r>
    </w:p>
    <w:p w14:paraId="7F730954" w14:textId="77777777" w:rsidR="00464C9E" w:rsidRDefault="00464C9E" w:rsidP="00464C9E">
      <w:pPr>
        <w:jc w:val="both"/>
      </w:pPr>
      <w:r>
        <w:t>§ 3 (2) O możliwości wniesienia skargi na urzędowym formularzu oraz o sposobie, w jaki jest on udostępniany, komornik poucza dłużnika przy pierwszej czynności egzekucyjnej, a także strony i uczestników obecnych podczas czynności dokonywanej poza kancelarią, chyba że czynność ta podlega</w:t>
      </w:r>
    </w:p>
    <w:p w14:paraId="7B39D8CB" w14:textId="77777777" w:rsidR="00464C9E" w:rsidRDefault="00464C9E" w:rsidP="00464C9E">
      <w:pPr>
        <w:jc w:val="both"/>
      </w:pPr>
      <w:r>
        <w:t>zaskarżeniu skargą w formie ustnej. Komornik doręcza urzędowy formularz skargi na żądanie strony lub uczestnika, jeżeli urzędowego formularza skargi im</w:t>
      </w:r>
    </w:p>
    <w:p w14:paraId="753EEFA2" w14:textId="77777777" w:rsidR="00464C9E" w:rsidRDefault="00464C9E" w:rsidP="00464C9E">
      <w:pPr>
        <w:jc w:val="both"/>
      </w:pPr>
      <w:r>
        <w:t>nie doręczono.</w:t>
      </w:r>
    </w:p>
    <w:p w14:paraId="0A7C1EDA" w14:textId="77777777" w:rsidR="00464C9E" w:rsidRDefault="00464C9E" w:rsidP="00464C9E">
      <w:pPr>
        <w:jc w:val="both"/>
      </w:pPr>
      <w:r>
        <w:t xml:space="preserve">§ 3 (3) Minister Sprawiedliwości określi, w drodze rozporządzenia, wzór i sposób udostępniania urzędowego formularza skargi, mając na względzie ustawowe wymagania przewidziane dla tego pisma, potrzebę zamieszczenia niezbędnych pouczeń co do sposobu wypełniania formularza, wnoszenia pisma i skutków niedostosowania go do ustawowych wymagań, a także konieczność bezpłatnego udostępniania formularzy w kancelariach komorniczych, siedzibach sądów oraz sieci Internet w formie pozwalającej na dogodną edycję treści formularza. </w:t>
      </w:r>
    </w:p>
    <w:p w14:paraId="56B8548E" w14:textId="77777777" w:rsidR="00464C9E" w:rsidRDefault="00464C9E" w:rsidP="00464C9E">
      <w:pPr>
        <w:jc w:val="both"/>
      </w:pPr>
      <w:r>
        <w:t>§ 4. Skargę wnosi się w terminie tygodniowym od dnia dokonania czynności, gdy strona lub osoba, której prawo zostało przez czynność komornika naruszone bądź zagrożone, była przy czynności obecna lub była o jej terminie zawiadomiona; w innych przypadkach – od dnia zawiadomienia o dokonaniu czynności strony lub osoby, której prawo zostało przez czynność komornika naruszone bądź zagrożone, a w braku zawiadomienia – od dnia powzięcia wiadomości przez skarżącego o dokonanej czynności. Skargę na zaniechanie przez komornika dokonania czynności wnosi się w terminie tygodniowym od dnia, w którym skarżący dowiedział się, że czynność miała być dokonana.</w:t>
      </w:r>
    </w:p>
    <w:p w14:paraId="7890B0BC" w14:textId="77777777" w:rsidR="00464C9E" w:rsidRDefault="00464C9E" w:rsidP="00464C9E">
      <w:pPr>
        <w:jc w:val="both"/>
      </w:pPr>
      <w:r>
        <w:t>§ 5. Skargę wnosi się do komornika, który dokonał zaskarżonej czynności lub zaniechał jej dokonania. Komornik w terminie trzech dni od dnia otrzymania skargi sporządza uzasadnienie zaskarżonej czynności, o ile nie zostało ono sporządzone wcześniej, albo przyczyn jej zaniechania i przekazuje je wraz ze skargą i aktami sprawy do właściwego sądu, chyba że skargę w całości uwzględnia. O uwzględnieniu skargi komornik zawiadamia skarżącego oraz zainteresowanych, których uwzględnienie skargi dotyczy.</w:t>
      </w:r>
    </w:p>
    <w:p w14:paraId="61D924BD" w14:textId="77777777" w:rsidR="00464C9E" w:rsidRDefault="00464C9E" w:rsidP="00464C9E">
      <w:pPr>
        <w:jc w:val="both"/>
      </w:pPr>
      <w:r>
        <w:t>§ 6. W przypadku stwierdzenia oczywistego naruszenia prawa przez komornika, sąd uwzględniając skargę, stosownie do okoliczności, może go obciążyć kosztami postępowania wywołanego skargą. Na postanowienie sądu przysługuje zażalenie stronom oraz komornikowi.</w:t>
      </w:r>
    </w:p>
    <w:p w14:paraId="3BAE4A57" w14:textId="77777777" w:rsidR="00464C9E" w:rsidRDefault="00464C9E" w:rsidP="00464C9E">
      <w:pPr>
        <w:jc w:val="both"/>
      </w:pPr>
    </w:p>
    <w:p w14:paraId="4FFF1B8E" w14:textId="21883D1E" w:rsidR="00961101" w:rsidRDefault="00961101" w:rsidP="00464C9E">
      <w:pPr>
        <w:jc w:val="both"/>
      </w:pPr>
      <w:r>
        <w:t>Art. 805. § 1. Przy pierwszej czynności egzekucyjnej doręcza się dłużnikowi zawiadomienie o wszczęciu egzekucji, z podaniem treści tytułu wykonawczego i wymienieniem sposobu egzekucji oraz z pouczeniem o możliwości, terminie i sposobie wniesienia środka zaskarżenia na postanowienie o nadaniu klauzuli wykonalności, a także sporządzony przez organ egzekucyjny odpis tytułu wykonawczego albo zweryfikowanego przez komornika dokumentu, o którym mowa w art. 797 § 3</w:t>
      </w:r>
      <w:r>
        <w:t xml:space="preserve"> </w:t>
      </w:r>
      <w:proofErr w:type="spellStart"/>
      <w:r>
        <w:t>kpc</w:t>
      </w:r>
      <w:proofErr w:type="spellEnd"/>
      <w:r>
        <w:t xml:space="preserve">. Komornik poucza dłużnika również o treści przepisów działu V tytułu I części trzeciej oraz prawie i sposobie złożenia wniosku o ograniczenie egzekucji, a także o treści art. 52a i art. 54 ustawy z dnia 29 sierpnia 1997 r. – Prawo bankowe (Dz. U. z 2020 r. poz. 1896, z </w:t>
      </w:r>
      <w:proofErr w:type="spellStart"/>
      <w:r>
        <w:t>późn</w:t>
      </w:r>
      <w:proofErr w:type="spellEnd"/>
      <w:r>
        <w:t>. zm.23) ) oraz art. 13g ustawy z dnia 5 listopada 2009 r. o spółdzielczych kasach oszczędnościowo-kredytowych (Dz. U. z 2020 r. poz. 1643 i 1639 oraz z 2021 r. poz. 432 i 815) i sposobie realizacji uprawnień wynikających z tych przepisów.</w:t>
      </w:r>
    </w:p>
    <w:p w14:paraId="6AD85742" w14:textId="5701736E" w:rsidR="00961101" w:rsidRDefault="00961101" w:rsidP="00464C9E">
      <w:pPr>
        <w:jc w:val="both"/>
      </w:pPr>
      <w:r>
        <w:t xml:space="preserve">§ 1 </w:t>
      </w:r>
      <w:r w:rsidR="00464C9E">
        <w:t>(</w:t>
      </w:r>
      <w:r>
        <w:t>1</w:t>
      </w:r>
      <w:r w:rsidR="00464C9E">
        <w:t>)</w:t>
      </w:r>
      <w:r>
        <w:t xml:space="preserve"> . Jeżeli podstawę egzekucji stanowi tytuł wykonawczy w postaci zaopatrzonego w klauzulę wykonalności wyroku zaocznego lub nakazu zapłaty</w:t>
      </w:r>
      <w:r>
        <w:t xml:space="preserve"> </w:t>
      </w:r>
      <w:r>
        <w:t>wydanego w postępowaniu nakazowym, upominawczym albo elektronicznym postępowaniu upominawczym, komornik poucza dłużnika również o treści art. 139 § 1 i 5, art. 168, art. 172, art. 8203 § 1 i 2 i art. 824 § 1 pkt 5, a także stosownie do orzeczenia stanowiącego tytuł egzekucyjny o treści art. 344, art. 346, art. 4803 , art. 492 § 3, art. 493 i art. 505 albo art. 50535 . § 2. Na żądanie dłużnika komornik powinien okazać mu tytuł wykonawczy w oryginale. § 3. W przypadku prowadzenia egzekucji na podstawie tytułu wykonawczego, o którym mowa w art. 783 § 4, obowiązek okazania oryginału tytułu wykonawczego, o którym mowa w § 2, polega na okazaniu dłużnikowi zweryfikowanego przez komornika dokumentu, o którym mowa w art. 797 § 3.</w:t>
      </w:r>
    </w:p>
    <w:p w14:paraId="0EAB67F9" w14:textId="216B7B1A" w:rsidR="00961101" w:rsidRDefault="00961101" w:rsidP="00464C9E">
      <w:pPr>
        <w:jc w:val="both"/>
      </w:pPr>
      <w:r>
        <w:t xml:space="preserve">Art. 797 </w:t>
      </w:r>
      <w:r>
        <w:t>§ 3</w:t>
      </w:r>
      <w:r>
        <w:t xml:space="preserve"> </w:t>
      </w:r>
      <w:proofErr w:type="spellStart"/>
      <w:r>
        <w:t>kpc</w:t>
      </w:r>
      <w:proofErr w:type="spellEnd"/>
      <w:r>
        <w:t>:</w:t>
      </w:r>
      <w:r>
        <w:t xml:space="preserve"> Jeżeli podstawą egzekucji jest tytuł wykonawczy, o którym mowa w art. 783 § 4</w:t>
      </w:r>
      <w:r>
        <w:t xml:space="preserve"> </w:t>
      </w:r>
      <w:proofErr w:type="spellStart"/>
      <w:r>
        <w:t>kpc</w:t>
      </w:r>
      <w:proofErr w:type="spellEnd"/>
      <w:r>
        <w:t>, do wniosku o wszczęcie egzekucji lub żądania przeprowadzenia egzekucji z urzędu dołącza się dokument uzyskany z systemu teleinformatycznego, umożliwiający organowi egzekucyjnemu weryfikację istnienia i treści tego tytułu, a w przypadku złożenia wniosku o wszczęcie egzekucji za pośrednictwem systemu teleinformatycznego wskazuje się tytuł wykonawczy.</w:t>
      </w:r>
    </w:p>
    <w:p w14:paraId="13086AAA" w14:textId="611E0AFE" w:rsidR="00961101" w:rsidRDefault="00961101" w:rsidP="00464C9E">
      <w:pPr>
        <w:jc w:val="both"/>
      </w:pPr>
      <w:r>
        <w:t xml:space="preserve">Art. 783 </w:t>
      </w:r>
      <w:r>
        <w:t>§</w:t>
      </w:r>
      <w:r>
        <w:t xml:space="preserve">4 </w:t>
      </w:r>
      <w:proofErr w:type="spellStart"/>
      <w:r>
        <w:t>kpc</w:t>
      </w:r>
      <w:proofErr w:type="spellEnd"/>
      <w:r>
        <w:t xml:space="preserve"> </w:t>
      </w:r>
      <w:r>
        <w:t xml:space="preserve"> Postanowienie o nadaniu klauzuli wykonalności tytułom egzekucyjnym, o których mowa w art. 777 § 1 pkt 1 i 1 </w:t>
      </w:r>
      <w:r>
        <w:t xml:space="preserve"> (</w:t>
      </w:r>
      <w:r>
        <w:t>1</w:t>
      </w:r>
      <w:r>
        <w:t xml:space="preserve">) </w:t>
      </w:r>
      <w:proofErr w:type="spellStart"/>
      <w:r>
        <w:t>kpc</w:t>
      </w:r>
      <w:proofErr w:type="spellEnd"/>
      <w:r>
        <w:t xml:space="preserve"> , wydanym w postaci elektronicznej pozostawia się wyłącznie w systemie teleinformatycznym, z wyjątkiem przypadków, o których mowa w art. 778</w:t>
      </w:r>
      <w:r>
        <w:t xml:space="preserve"> (</w:t>
      </w:r>
      <w:r>
        <w:t>1</w:t>
      </w:r>
      <w:r>
        <w:t>)</w:t>
      </w:r>
      <w:r>
        <w:t xml:space="preserve"> , art. 778</w:t>
      </w:r>
      <w:r>
        <w:t xml:space="preserve"> (</w:t>
      </w:r>
      <w:r>
        <w:t>2</w:t>
      </w:r>
      <w:r>
        <w:t>)</w:t>
      </w:r>
      <w:r>
        <w:t xml:space="preserve"> , art. 787, art. 7871 , art. 788 oraz art. 789</w:t>
      </w:r>
      <w:r>
        <w:t xml:space="preserve"> </w:t>
      </w:r>
      <w:proofErr w:type="spellStart"/>
      <w:r>
        <w:t>kpc</w:t>
      </w:r>
      <w:proofErr w:type="spellEnd"/>
      <w:r>
        <w:t>.</w:t>
      </w:r>
    </w:p>
    <w:p w14:paraId="71D088D9" w14:textId="6E191B33" w:rsidR="00961101" w:rsidRDefault="00961101" w:rsidP="00464C9E">
      <w:pPr>
        <w:jc w:val="both"/>
      </w:pPr>
      <w:r>
        <w:t>DZIAŁ V Ograniczenia egzekucji Art. 829. Nie podlegają egzekucji: 1) przedmioty urządzenia domowego niezbędne dla dłużnika i jego domowników, w szczególności lodówka, pralka, odkurzacz, piekarnik lub kuchenka mikrofalowa, płyta grzewcza służąca podgrzewaniu i przygotowywaniu posiłków, łóżka, stół i krzesła w liczbie niezbędnej dla dłużnika i jego domowników oraz po jednym źródle oświetlenia na izbę, chyba że są to przedmioty, których wartość znacznie przekracza przeciętną wartość nowych przedmiotów danego rodzaju; 1 1 ) pościel, bielizna i ubranie codzienne, w liczbie niezbędnej dla dłużnika i jego domowników, a także ubranie niezbędne do pełnienia służby lub wykonywania zawodu;</w:t>
      </w:r>
    </w:p>
    <w:p w14:paraId="6CEA521F" w14:textId="48E63AE2" w:rsidR="00961101" w:rsidRDefault="00961101" w:rsidP="00464C9E">
      <w:pPr>
        <w:jc w:val="both"/>
      </w:pPr>
      <w:r>
        <w:t xml:space="preserve">2) zapasy żywności i opału niezbędne dla dłużnika i będących na jego utrzymaniu członków jego rodziny na okres jednego miesiąca; 3) jedna krowa lub dwie kozy albo trzy owce potrzebne do wyżywienia dłużnika i będących na jego utrzymaniu członków jego rodziny wraz z zapasem paszy i ściółki do najbliższych zbiorów; 4) narzędzia i inne przedmioty niezbędne do osobistej pracy zarobkowej dłużnika oraz surowce niezbędne dla niego do produkcji na okres jednego tygodnia, z wyłączeniem jednak pojazdów mechanicznych; 5) u dłużnika pobierającego periodyczną stałą płacę – pieniądze w kwocie, która odpowiada niepodlegającej egzekucji części płacy za czas do najbliższego terminu wypłaty, a u dłużnika nieotrzymującego stałej płacy lub u dłużnika, będącego osobą fizyczną wykonującą działalność </w:t>
      </w:r>
      <w:r>
        <w:lastRenderedPageBreak/>
        <w:t xml:space="preserve">gospodarczą – pieniądze niezbędne dla niego i jego rodziny na utrzymanie przez dwa tygodnie; 6) przedmioty niezbędne do nauki, papiery osobiste, odznaczenia i przedmioty służące do wykonywania praktyk religijnych oraz przedmioty codziennego użytku, które mogą być sprzedane tylko znacznie poniżej ich wartości, a dla dłużnika mają znaczną wartość użytkową; 7) (uchylony) 8) produkty lecznicze w rozumieniu przepisów ustawy z dnia 6 września 2001 r. – Prawo farmaceutyczne (Dz. U. z 2021 r. poz. 974 i 981) niezbędne do funkcjonowania podmiotu leczniczego w rozumieniu przepisów o działalności leczniczej przez okres trzech miesięcy; 8 1 ) niezbędne do funkcjonowania podmiotu leczniczego w rozumieniu przepisów o działalności leczniczej wyroby medyczne, wyposażenie wyrobów medycznych, systemy i zestawy zabiegowe, w rozumieniu przepisów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t>późn</w:t>
      </w:r>
      <w:proofErr w:type="spellEnd"/>
      <w:r>
        <w:t>. zm.24) ), oraz wyroby medyczne</w:t>
      </w:r>
      <w:r>
        <w:t xml:space="preserve"> </w:t>
      </w:r>
      <w:r>
        <w:t xml:space="preserve">do diagnostyki in vitro i wyposażenie wyrobów medycznych do diagnostyki in vitro, w rozumieniu przepisów rozporządzenia Parlamentu Europejskiego i Rady (UE) 2017/746 z dnia 5 kwietnia 2017 r. w sprawie wyrobów medycznych do diagnostyki in vitro oraz uchylenia dyrektywy 98/79/WE i decyzji Komisji 2010/227/UE (Dz. Urz. UE L 117 z 05.05.2017, str. 176, z </w:t>
      </w:r>
      <w:proofErr w:type="spellStart"/>
      <w:r>
        <w:t>późn</w:t>
      </w:r>
      <w:proofErr w:type="spellEnd"/>
      <w:r>
        <w:t>. zm.25) ); 9) przedmioty niezbędne ze względu na niepełnosprawność dłużnika lub członków jego rodziny.</w:t>
      </w:r>
    </w:p>
    <w:p w14:paraId="5E38E366" w14:textId="1FBE0404" w:rsidR="00961101" w:rsidRDefault="00961101" w:rsidP="00464C9E">
      <w:pPr>
        <w:jc w:val="both"/>
      </w:pPr>
      <w:r>
        <w:t>Art. 52</w:t>
      </w:r>
      <w:r>
        <w:t xml:space="preserve"> ustawy Prawo bankowe (Dz. U. 2022, poz. 2324):</w:t>
      </w:r>
    </w:p>
    <w:p w14:paraId="066F9E6F" w14:textId="77777777" w:rsidR="00961101" w:rsidRDefault="00961101" w:rsidP="00464C9E">
      <w:pPr>
        <w:jc w:val="both"/>
      </w:pPr>
      <w:r>
        <w:t>1</w:t>
      </w:r>
      <w:r>
        <w:t xml:space="preserve">. Umowa rachunku bankowego jest zawierana na piśmie. </w:t>
      </w:r>
    </w:p>
    <w:p w14:paraId="29AB9743" w14:textId="77777777" w:rsidR="00961101" w:rsidRDefault="00961101" w:rsidP="00464C9E">
      <w:pPr>
        <w:jc w:val="both"/>
      </w:pPr>
      <w:r>
        <w:t xml:space="preserve">2. Umowa rachunku bankowego powinna określać w szczególności: </w:t>
      </w:r>
    </w:p>
    <w:p w14:paraId="668B3ABB" w14:textId="77777777" w:rsidR="00961101" w:rsidRDefault="00961101" w:rsidP="00464C9E">
      <w:pPr>
        <w:jc w:val="both"/>
      </w:pPr>
      <w:r>
        <w:t xml:space="preserve">1) strony umowy; </w:t>
      </w:r>
    </w:p>
    <w:p w14:paraId="1F3CD3B7" w14:textId="77777777" w:rsidR="00961101" w:rsidRDefault="00961101" w:rsidP="00464C9E">
      <w:pPr>
        <w:jc w:val="both"/>
      </w:pPr>
      <w:r>
        <w:t xml:space="preserve">2) rodzaj otwieranego rachunku; </w:t>
      </w:r>
    </w:p>
    <w:p w14:paraId="48C2185B" w14:textId="77777777" w:rsidR="00961101" w:rsidRDefault="00961101" w:rsidP="00464C9E">
      <w:pPr>
        <w:jc w:val="both"/>
      </w:pPr>
      <w:r>
        <w:t xml:space="preserve">3) walutę rachunku; </w:t>
      </w:r>
    </w:p>
    <w:p w14:paraId="388C539F" w14:textId="77777777" w:rsidR="00961101" w:rsidRDefault="00961101" w:rsidP="00464C9E">
      <w:pPr>
        <w:jc w:val="both"/>
      </w:pPr>
      <w:r>
        <w:t xml:space="preserve">4) czas trwania umowy; </w:t>
      </w:r>
    </w:p>
    <w:p w14:paraId="53FAFC3D" w14:textId="77777777" w:rsidR="00961101" w:rsidRDefault="00961101" w:rsidP="00464C9E">
      <w:pPr>
        <w:jc w:val="both"/>
      </w:pPr>
      <w:r>
        <w:t xml:space="preserve">5) o ile strony zastrzegają oprocentowanie środków pieniężnych zgromadzonych na rachunku – wysokość tego oprocentowania i przesłanki dopuszczalności jego zmiany przez bank, a także terminy wypłaty, postawienia do dyspozycji lub kapitalizacji należnych odsetek; </w:t>
      </w:r>
    </w:p>
    <w:p w14:paraId="78805526" w14:textId="77777777" w:rsidR="00961101" w:rsidRDefault="00961101" w:rsidP="00464C9E">
      <w:pPr>
        <w:jc w:val="both"/>
      </w:pPr>
      <w:r>
        <w:t xml:space="preserve">6) wysokość prowizji i opłat za czynności związane z wykonywaniem umowy oraz przesłanki i tryb ich zmiany przez bank; </w:t>
      </w:r>
    </w:p>
    <w:p w14:paraId="656A40A9" w14:textId="77777777" w:rsidR="00961101" w:rsidRDefault="00961101" w:rsidP="00464C9E">
      <w:pPr>
        <w:jc w:val="both"/>
      </w:pPr>
      <w:r>
        <w:t xml:space="preserve">7) formy i zakres rozliczeń pieniężnych dokonywanych na polecenie posiadacza rachunku oraz terminy ich realizacji; </w:t>
      </w:r>
    </w:p>
    <w:p w14:paraId="7653D130" w14:textId="77777777" w:rsidR="00961101" w:rsidRDefault="00961101" w:rsidP="00464C9E">
      <w:pPr>
        <w:jc w:val="both"/>
      </w:pPr>
      <w:r>
        <w:t xml:space="preserve">8) przesłanki i tryb dokonywania zmian umowy; </w:t>
      </w:r>
    </w:p>
    <w:p w14:paraId="6564BA2B" w14:textId="383F7AB9" w:rsidR="00961101" w:rsidRDefault="00961101" w:rsidP="00464C9E">
      <w:pPr>
        <w:jc w:val="both"/>
      </w:pPr>
      <w:r>
        <w:t>9) przesłanki i tryb rozwiązania umowy rachunku bankowego;</w:t>
      </w:r>
    </w:p>
    <w:p w14:paraId="397EF551" w14:textId="520FA1B6" w:rsidR="00961101" w:rsidRDefault="00961101" w:rsidP="00464C9E">
      <w:pPr>
        <w:jc w:val="both"/>
      </w:pPr>
      <w:r>
        <w:t xml:space="preserve">10) zakres odpowiedzialności banku za terminowe i prawidłowe przeprowadzenie rozliczeń pieniężnych oraz wysokość odszkodowania za przekroczenie terminu realizacji dyspozycji posiadacza rachunku. 2a. Umowa rachunku rodzinnego, oprócz elementów określonych w ust. 2, określa również numery rachunków bankowych jednostek wypłacających świadczenia niepodlegające egzekucji, z których dokonywane są wpłaty na rachunek rodzinny. Zaświadczenia o numerach tych rachunków, wydane przez jednostki wypłacające świadczenia niepodlegające egzekucji, stanowią załączniki do umowy rachunku rodzinnego. 3. Do obliczania należnych odsetek od środków pieniężnych zgromadzonych na rachunku przyjmuje się, że rok liczy 365 dni, chyba że umowa stanowi inaczej. 4. W przypadku umowy </w:t>
      </w:r>
      <w:r>
        <w:lastRenderedPageBreak/>
        <w:t>rachunku bankowego pełniącego funkcję rachunku płatniczego, o którym mowa w art. 2 pkt 25 ustawy z dnia 19 sierpnia 2011 r. o usługach płatniczych, przepisów ust. 1 i 2 nie stosuje się.</w:t>
      </w:r>
    </w:p>
    <w:p w14:paraId="67D08951" w14:textId="6C812A65" w:rsidR="00464C9E" w:rsidRDefault="00464C9E" w:rsidP="00464C9E">
      <w:pPr>
        <w:jc w:val="both"/>
      </w:pPr>
      <w:r>
        <w:t>Art. 54</w:t>
      </w:r>
      <w:r>
        <w:t xml:space="preserve"> </w:t>
      </w:r>
      <w:r>
        <w:t>ustawy Prawo bankowe (Dz. U. 2022, poz. 2324)</w:t>
      </w:r>
      <w:r>
        <w:t>:</w:t>
      </w:r>
    </w:p>
    <w:p w14:paraId="26DDA259" w14:textId="5617F0D4" w:rsidR="00961101" w:rsidRDefault="00464C9E" w:rsidP="00464C9E">
      <w:pPr>
        <w:jc w:val="both"/>
      </w:pPr>
      <w:r>
        <w:t>1.</w:t>
      </w:r>
      <w:r>
        <w:t>Środki pieniężne znajdujące się na rachunkach oszczędnościowych, rachunkach oszczędnościowo-rozliczeniowych oraz na rachunkach terminowych lokat oszczędnościowych jednej osoby, niezależnie od liczby zawartych umów, są wolne od zajęcia na podstawie sądowego lub administracyjnego tytułu wykonawczego, w każdym miesiącu kalendarzowym, w którym obowiązuje zajęcie, do wysokości 75% minimalnego wynagrodzenia za pracę, ustalanego na podstawie ustawy z dnia 10 października 2002 r. o minimalnym wynagrodzeniu za pracę (Dz. U. z 2020 r. poz. 2207), przysługującego pracownikowi zatrudnionemu w pełnym miesięcznym wymiarze czasu pracy. 2. Środki pieniężne zgromadzone na rachunku oszczędnościowym, rachunku oszczędnościowo-rozliczeniowym oraz na rachunku terminowej lokaty oszczędnościowej prowadzonym dla kilku osób fizycznych są wolne od zajęcia do wysokości określonej w ust. 1, niezależnie od liczby współposiadaczy takiego rachunku.</w:t>
      </w:r>
    </w:p>
    <w:p w14:paraId="3CEA4EDF" w14:textId="4F3F3915" w:rsidR="00464C9E" w:rsidRDefault="00464C9E" w:rsidP="00464C9E">
      <w:pPr>
        <w:jc w:val="both"/>
      </w:pPr>
      <w:r>
        <w:t>Art. 13g</w:t>
      </w:r>
      <w:r>
        <w:t xml:space="preserve"> ustawy o </w:t>
      </w:r>
      <w:r w:rsidRPr="00464C9E">
        <w:t>spółdzielczych kasach oszczędnościowo-kredytowych (Dz.U. 2022 poz. 924)</w:t>
      </w:r>
    </w:p>
    <w:p w14:paraId="688BC690" w14:textId="1F275436" w:rsidR="00464C9E" w:rsidRDefault="00464C9E" w:rsidP="00464C9E">
      <w:pPr>
        <w:jc w:val="both"/>
      </w:pPr>
      <w:r>
        <w:t xml:space="preserve">1. </w:t>
      </w:r>
      <w:r>
        <w:t>Kasa może prowadzić na rzecz członka kasy rachunek rodzinny. 2. Rachunek rodzinny członka kasy może być prowadzony wyłącznie dla osób fizycznych, którym przyznano niepodlegające egzekucji świadczenia, dodatki, zasiłki oraz inne kwoty, o których mowa w art. 833 § 6 i 7 ustawy z dnia 17 listopada 1964 r. – Kodeks postępowania cywilnego, z wyjątkiem świadczeń alimentacyjnych, zwane dalej „świadczeniami niepodlegającymi egzekucji”. 3. Rachunek rodzinny członka kasy nie może być prowadzony dla kilku osób fizycznych. 4. Umowa rachunku rodzinnego członka kasy określa numery rachunków bankowych jednostek wypłacających świadczenia niepodlegające egzekucji, z których dokonywane są wpłaty na rachunek rodzinny członka kasy. Zaświadczenia o numerach tych rachunków, wydane przez jednostki wypłacające świadczenia niepodlegające egzekucji, stanowią załączniki do umowy rachunku rodzinnego członka kasy. 5. Otwarcie i prowadzenie rachunku rodzinnego członka kasy oraz wypłaty z tego rachunku w kasie, w której rachunek jest prowadzony, są wolne od jakichkolwiek opłat i prowizji. Kasa nie pobiera opłat i prowizji za wydanie instrumentu płatniczego do rachunku rodzinnego, o ile umowa przewiduje wydanie</w:t>
      </w:r>
      <w:r>
        <w:t xml:space="preserve">. </w:t>
      </w:r>
    </w:p>
    <w:p w14:paraId="03FAB95E" w14:textId="77777777" w:rsidR="00464C9E" w:rsidRDefault="00464C9E" w:rsidP="00464C9E">
      <w:pPr>
        <w:jc w:val="both"/>
      </w:pPr>
    </w:p>
    <w:sectPr w:rsidR="00464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841"/>
    <w:multiLevelType w:val="hybridMultilevel"/>
    <w:tmpl w:val="B7943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B8234E"/>
    <w:multiLevelType w:val="hybridMultilevel"/>
    <w:tmpl w:val="4A540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7321579">
    <w:abstractNumId w:val="0"/>
  </w:num>
  <w:num w:numId="2" w16cid:durableId="165559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01"/>
    <w:rsid w:val="002B6468"/>
    <w:rsid w:val="00464C9E"/>
    <w:rsid w:val="005B531B"/>
    <w:rsid w:val="00961101"/>
    <w:rsid w:val="00D11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0205"/>
  <w15:chartTrackingRefBased/>
  <w15:docId w15:val="{6C660651-E402-4912-B5F6-856E6C0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11310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Ćwikła</dc:creator>
  <cp:keywords/>
  <dc:description/>
  <cp:lastModifiedBy>Mariusz Ćwikła</cp:lastModifiedBy>
  <cp:revision>2</cp:revision>
  <dcterms:created xsi:type="dcterms:W3CDTF">2023-07-03T19:06:00Z</dcterms:created>
  <dcterms:modified xsi:type="dcterms:W3CDTF">2023-07-03T19:06:00Z</dcterms:modified>
</cp:coreProperties>
</file>